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48803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center"/>
        <w:rPr>
          <w:rStyle w:val="6"/>
          <w:rFonts w:hint="default" w:ascii="Arial" w:hAnsi="Arial" w:eastAsia="Arial" w:cs="Arial"/>
          <w:kern w:val="0"/>
          <w:sz w:val="30"/>
          <w:szCs w:val="30"/>
          <w:lang w:val="ru-RU" w:eastAsia="zh-CN" w:bidi="ar"/>
        </w:rPr>
      </w:pPr>
      <w:r>
        <w:rPr>
          <w:rStyle w:val="6"/>
          <w:rFonts w:hint="default" w:ascii="Arial" w:hAnsi="Arial" w:eastAsia="Arial" w:cs="Arial"/>
          <w:kern w:val="0"/>
          <w:sz w:val="30"/>
          <w:szCs w:val="30"/>
          <w:lang w:val="ru-RU" w:eastAsia="zh-CN" w:bidi="ar"/>
        </w:rPr>
        <w:t>Правила для велосипедистов</w:t>
      </w:r>
    </w:p>
    <w:p w14:paraId="461CE91C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ind w:firstLine="708" w:firstLineChars="0"/>
        <w:jc w:val="both"/>
        <w:rPr>
          <w:rFonts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В 2026 году велосипедисты являются полноправными участниками дорожного движения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и обязаны соблюдать требования ПДД наравне с водителями автомобилей. Правила для велосипедистов касаются движения, дорожных знаков и разметки, а также ответственности за нарушения.</w:t>
      </w:r>
    </w:p>
    <w:p w14:paraId="1BFB602C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  <w:r>
        <w:rPr>
          <w:rFonts w:hint="default" w:ascii="Arial" w:hAnsi="Arial" w:eastAsia="Arial" w:cs="Arial"/>
          <w:b/>
          <w:bCs/>
          <w:color w:val="333333"/>
          <w:sz w:val="30"/>
          <w:szCs w:val="30"/>
        </w:rPr>
        <w:t>Движение</w:t>
      </w:r>
    </w:p>
    <w:p w14:paraId="6341FDFD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Порядок приоритета движения велосипедистов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(согласно пунктам 24.1–24.6 ПДД РФ): </w:t>
      </w:r>
    </w:p>
    <w:p w14:paraId="610A5D0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Велосипедная дорожка, велопешеходная дорожка или выделенная полоса для велосипедистов.</w:t>
      </w:r>
    </w:p>
    <w:p w14:paraId="2F856D3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Правый край проезжей части (при отсутствии велодорожки и невозможности движения по ней).</w:t>
      </w:r>
    </w:p>
    <w:p w14:paraId="2A14D8E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Обочина (если движение по проезжей части невозможно).</w:t>
      </w:r>
    </w:p>
    <w:p w14:paraId="1872480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Тротуар или пешеходная дорожка (в исключительных случаях: сопровождение ребёнка до 14 лет, перевозка ребёнка до 7 лет, отсутствие других вариантов).</w:t>
      </w:r>
    </w:p>
    <w:p w14:paraId="4E39809B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Некоторые особенности движения:</w:t>
      </w:r>
    </w:p>
    <w:p w14:paraId="66A1834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Если велосипедист движется по правой стороне проезжей части, ехать можно только в один ряд. Колонна велосипедистов может разбиваться на два ряда, но только если ширина велосипедов не более 0,75 м.</w:t>
      </w:r>
    </w:p>
    <w:p w14:paraId="2E3E111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Если велосипедист пересекает проезжую часть вне перекрёстка, он должен уступить дорогу другим участникам дорожного движения.</w:t>
      </w:r>
    </w:p>
    <w:p w14:paraId="73F1E4E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В пешеходных зонах (включая велосипедные дорожки на их территории), а также на обочинах, тротуарах и пешеходных дорожках действует ограничение: если велосипедист мешает движению пешеходов, он должен спешиться и вести велосипед рядом, при этом для него будут действовать ПДД для пешеходов.</w:t>
      </w:r>
    </w:p>
    <w:p w14:paraId="23CCFDB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  <w:bdr w:val="none" w:color="auto" w:sz="0" w:space="0"/>
        </w:rPr>
        <w:t>Требования к оборудованию велосипеда</w:t>
      </w: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: велосипед должен быть оборудован исправными тормозами и рулевым управлением, передним фонарём белого цвета (для движения в тёмное время суток и в условиях недостаточной видимости), световозвращателями: спереди — белого цвета, сзади — красного, с боков — оранжевого, звуковым сигналом.</w:t>
      </w:r>
    </w:p>
    <w:p w14:paraId="1D9A17B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  <w:bdr w:val="none" w:color="auto" w:sz="0" w:space="0"/>
        </w:rPr>
        <w:t>Сигналы поворота и остановки</w:t>
      </w: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: велосипедист обязан подавать сигналы перед началом движения, перестроением, поворотом и остановкой. Сигналы подаются рукой: поворот направо — вытянутая правая рука в сторону (или согнутая в локте левая рука), поворот налево — вытянутая левая рука в сторону (или согнутая в локте правая рука), остановка — поднятая вверх рука (любая).</w:t>
      </w:r>
    </w:p>
    <w:p w14:paraId="0FA9536B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</w:t>
      </w: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Ограничение скорости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для велосипедов, в том числе с электромотором, — не более 25 км/ч. </w:t>
      </w:r>
    </w:p>
    <w:p w14:paraId="278EA520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</w:p>
    <w:p w14:paraId="67BD95D1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  <w:r>
        <w:rPr>
          <w:rFonts w:hint="default" w:ascii="Arial" w:hAnsi="Arial" w:eastAsia="Arial" w:cs="Arial"/>
          <w:b/>
          <w:bCs/>
          <w:color w:val="333333"/>
          <w:sz w:val="30"/>
          <w:szCs w:val="30"/>
        </w:rPr>
        <w:t>Знаки</w:t>
      </w:r>
    </w:p>
    <w:p w14:paraId="666CAD52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</w:pP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Некоторые дорожные знаки, регулирующие движение велосипедистов в 2026 году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:</w:t>
      </w:r>
    </w:p>
    <w:p w14:paraId="41270327">
      <w:pPr>
        <w:pStyle w:val="2"/>
        <w:keepNext w:val="0"/>
        <w:keepLines w:val="0"/>
        <w:widowControl/>
        <w:suppressLineNumbers w:val="0"/>
        <w:shd w:val="clear" w:fill="FFFFFF"/>
        <w:spacing w:before="360" w:beforeAutospacing="0" w:after="120" w:afterAutospacing="0" w:line="360" w:lineRule="atLeast"/>
        <w:ind w:left="0" w:right="0" w:firstLine="0"/>
        <w:jc w:val="center"/>
        <w:rPr>
          <w:rFonts w:ascii="Arial" w:hAnsi="Arial" w:eastAsia="Arial" w:cs="Arial"/>
          <w:b/>
          <w:bCs/>
          <w:caps w:val="0"/>
          <w:color w:val="548235" w:themeColor="accent6" w:themeShade="BF"/>
          <w:spacing w:val="0"/>
          <w:sz w:val="34"/>
          <w:szCs w:val="34"/>
        </w:rPr>
      </w:pPr>
      <w:r>
        <w:rPr>
          <w:rFonts w:hint="default" w:ascii="Arial" w:hAnsi="Arial" w:eastAsia="Arial" w:cs="Arial"/>
          <w:b/>
          <w:bCs/>
          <w:caps w:val="0"/>
          <w:color w:val="548235" w:themeColor="accent6" w:themeShade="BF"/>
          <w:spacing w:val="0"/>
          <w:sz w:val="34"/>
          <w:szCs w:val="34"/>
          <w:shd w:val="clear" w:fill="FFFFFF"/>
        </w:rPr>
        <w:t>Разрешающие</w:t>
      </w:r>
    </w:p>
    <w:p w14:paraId="39D298D9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Некоторые знаки, разрешающие движение велосипедистов:</w:t>
      </w:r>
    </w:p>
    <w:p w14:paraId="7CF5879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4.4.1 «Велосипедная дорожка»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— обозначает начало участка дороги, где разрешено движение только велосипедов. На таком участке запрещено движение автомобилей, пешеходов (за редким исключением) и иных видов транспорта. </w:t>
      </w:r>
    </w:p>
    <w:p w14:paraId="5EDE2A6A">
      <w:pPr>
        <w:keepNext w:val="0"/>
        <w:keepLines w:val="0"/>
        <w:widowControl/>
        <w:suppressLineNumbers w:val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1161415" cy="1159510"/>
            <wp:effectExtent l="0" t="0" r="635" b="2540"/>
            <wp:docPr id="29" name="Изображение 29" descr="70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 29" descr="700 (1)"/>
                    <pic:cNvPicPr>
                      <a:picLocks noChangeAspect="1"/>
                    </pic:cNvPicPr>
                  </pic:nvPicPr>
                  <pic:blipFill>
                    <a:blip r:embed="rId4"/>
                    <a:srcRect l="15555" t="19292" r="22362" b="18752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D31E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4.5.2 «Велосипедная и пешеходная дорожка</w:t>
      </w: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 с совмещенным движением</w:t>
      </w: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— указывает на зону для пеших людей и велосипедов.</w:t>
      </w:r>
    </w:p>
    <w:p w14:paraId="073DB33C">
      <w:pPr>
        <w:keepNext w:val="0"/>
        <w:keepLines w:val="0"/>
        <w:widowControl/>
        <w:suppressLineNumbers w:val="0"/>
        <w:jc w:val="both"/>
      </w:pPr>
    </w:p>
    <w:p w14:paraId="34CB47F7">
      <w:pPr>
        <w:keepNext w:val="0"/>
        <w:keepLines w:val="0"/>
        <w:widowControl/>
        <w:suppressLineNumbers w:val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1152525" cy="1133475"/>
            <wp:effectExtent l="0" t="0" r="9525" b="9525"/>
            <wp:docPr id="30" name="Изображение 30" descr="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30" descr="1600"/>
                    <pic:cNvPicPr>
                      <a:picLocks noChangeAspect="1"/>
                    </pic:cNvPicPr>
                  </pic:nvPicPr>
                  <pic:blipFill>
                    <a:blip r:embed="rId5"/>
                    <a:srcRect l="11458" t="12018" r="11301" b="1201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5815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5.14.2 «Полоса для велосипедистов»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— информирует о выделении отдельной полосы для езды только на велосипеде или мопеде. </w:t>
      </w:r>
    </w:p>
    <w:p w14:paraId="1E8E1808">
      <w:pPr>
        <w:keepNext w:val="0"/>
        <w:keepLines w:val="0"/>
        <w:widowControl/>
        <w:suppressLineNumbers w:val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1203325" cy="1196340"/>
            <wp:effectExtent l="0" t="0" r="15875" b="3810"/>
            <wp:docPr id="28" name="Изображение 28" descr="znak-5-14-2-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28" descr="znak-5-14-2-500x500"/>
                    <pic:cNvPicPr>
                      <a:picLocks noChangeAspect="1"/>
                    </pic:cNvPicPr>
                  </pic:nvPicPr>
                  <pic:blipFill>
                    <a:blip r:embed="rId6"/>
                    <a:srcRect l="12446" t="13536" r="13891" b="13232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4801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4.5.4 и 4.5.5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 xml:space="preserve"> — 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  <w:t>«</w:t>
      </w:r>
      <w:r>
        <w:rPr>
          <w:rStyle w:val="6"/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Пешеходн</w:t>
      </w:r>
      <w:r>
        <w:rPr>
          <w:rStyle w:val="6"/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ая</w:t>
      </w:r>
      <w:r>
        <w:rPr>
          <w:rStyle w:val="6"/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и велосипедн</w:t>
      </w:r>
      <w:r>
        <w:rPr>
          <w:rStyle w:val="6"/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ая</w:t>
      </w:r>
      <w:r>
        <w:rPr>
          <w:rStyle w:val="6"/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дорожк</w:t>
      </w:r>
      <w:r>
        <w:rPr>
          <w:rStyle w:val="6"/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а</w:t>
      </w:r>
      <w:r>
        <w:rPr>
          <w:rStyle w:val="6"/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с разделением движения»</w:t>
      </w: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.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Для пешеходов и водителей немеханических транспортных средств выделены две отдельные полосы, которые отделяются друг от друга горизонтальной дорожной разметкой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 w14:paraId="0D8E40B3">
      <w:pPr>
        <w:keepNext w:val="0"/>
        <w:keepLines w:val="0"/>
        <w:widowControl/>
        <w:suppressLineNumbers w:val="0"/>
        <w:jc w:val="both"/>
      </w:pPr>
    </w:p>
    <w:p w14:paraId="12274621">
      <w:pPr>
        <w:keepNext w:val="0"/>
        <w:keepLines w:val="0"/>
        <w:widowControl/>
        <w:suppressLineNumbers w:val="0"/>
        <w:jc w:val="both"/>
      </w:pPr>
      <w:r>
        <w:rPr>
          <w:rFonts w:hint="default" w:ascii="Arial" w:hAnsi="Arial" w:eastAsia="Arial" w:cs="Arial"/>
          <w:sz w:val="24"/>
          <w:szCs w:val="24"/>
        </w:rPr>
        <w:drawing>
          <wp:inline distT="0" distB="0" distL="114300" distR="114300">
            <wp:extent cx="5250815" cy="1406525"/>
            <wp:effectExtent l="0" t="0" r="6985" b="3175"/>
            <wp:docPr id="27" name="Изображение 27" descr="4.5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27" descr="4.5.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366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</w:p>
    <w:p w14:paraId="16B6332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5.39</w:t>
      </w: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  <w:t>.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 xml:space="preserve"> </w:t>
      </w:r>
      <w:r>
        <w:rPr>
          <w:rStyle w:val="6"/>
          <w:rFonts w:hint="default" w:ascii="Arial" w:hAnsi="Arial" w:eastAsia="Arial" w:cs="Arial"/>
          <w:sz w:val="24"/>
          <w:szCs w:val="24"/>
        </w:rPr>
        <w:t>«Велосипедная зона»</w:t>
      </w:r>
      <w:r>
        <w:rPr>
          <w:rFonts w:hint="default" w:ascii="Arial" w:hAnsi="Arial" w:eastAsia="Arial" w:cs="Arial"/>
          <w:sz w:val="24"/>
          <w:szCs w:val="24"/>
        </w:rPr>
        <w:t> — обозначает начало участка дороги, предназначенного для велосипедистов. 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говорит о начале велосипедной зоны. Скорость на территории действия знака не должна превышать 20 км/ч</w:t>
      </w:r>
    </w:p>
    <w:p w14:paraId="1759229F">
      <w:pPr>
        <w:keepNext w:val="0"/>
        <w:keepLines w:val="0"/>
        <w:widowControl/>
        <w:suppressLineNumbers w:val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1524000" cy="1524000"/>
            <wp:effectExtent l="0" t="0" r="0" b="0"/>
            <wp:docPr id="31" name="Изображение 31" descr="ivye2fndgjseld34tw3q4rrxu7qd0v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31" descr="ivye2fndgjseld34tw3q4rrxu7qd0vl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A0C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sz w:val="24"/>
          <w:szCs w:val="24"/>
          <w:bdr w:val="none" w:color="auto" w:sz="0" w:space="0"/>
        </w:rPr>
        <w:t>4.5.1 «Пешеходная дорожка»</w:t>
      </w: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 — разрешает движение велосипедистам в некоторых случаях, например, по пешеходной дорожке могут двигаться велосипедисты младше 14 лет или велосипедисты старше 14 лет, которые сопровождают велосипедистов младше 14 лет или перевозят ребёнка младше 7 л</w:t>
      </w:r>
      <w:r>
        <w:rPr>
          <w:rFonts w:hint="default" w:ascii="Arial" w:hAnsi="Arial" w:eastAsia="Arial" w:cs="Arial"/>
          <w:sz w:val="24"/>
          <w:szCs w:val="24"/>
          <w:bdr w:val="none" w:color="auto" w:sz="0" w:space="0"/>
          <w:lang w:val="ru-RU"/>
        </w:rPr>
        <w:t>ет.</w:t>
      </w:r>
    </w:p>
    <w:p w14:paraId="6FCED97B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-360" w:leftChars="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111125</wp:posOffset>
            </wp:positionV>
            <wp:extent cx="943610" cy="943610"/>
            <wp:effectExtent l="0" t="0" r="8890" b="8890"/>
            <wp:wrapTight wrapText="bothSides">
              <wp:wrapPolygon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21" name="Изображение 21" descr="388_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388_original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90E60">
      <w:pPr>
        <w:pStyle w:val="2"/>
        <w:keepNext w:val="0"/>
        <w:keepLines w:val="0"/>
        <w:widowControl/>
        <w:suppressLineNumbers w:val="0"/>
        <w:shd w:val="clear" w:fill="FFFFFF"/>
        <w:spacing w:before="360" w:beforeAutospacing="0" w:after="120" w:afterAutospacing="0" w:line="360" w:lineRule="atLeast"/>
        <w:ind w:left="0" w:right="0" w:firstLine="0"/>
        <w:jc w:val="center"/>
        <w:rPr>
          <w:rFonts w:hint="default" w:ascii="Arial" w:hAnsi="Arial" w:eastAsia="Arial" w:cs="Arial"/>
          <w:b/>
          <w:bCs/>
          <w:caps w:val="0"/>
          <w:color w:val="FF0000"/>
          <w:spacing w:val="0"/>
          <w:sz w:val="30"/>
          <w:szCs w:val="30"/>
          <w:highlight w:val="none"/>
          <w:shd w:val="clear" w:fill="FFFFFF"/>
        </w:rPr>
      </w:pPr>
    </w:p>
    <w:p w14:paraId="5033F6D5">
      <w:pPr>
        <w:pStyle w:val="2"/>
        <w:keepNext w:val="0"/>
        <w:keepLines w:val="0"/>
        <w:widowControl/>
        <w:suppressLineNumbers w:val="0"/>
        <w:shd w:val="clear" w:fill="FFFFFF"/>
        <w:spacing w:before="360" w:beforeAutospacing="0" w:after="120" w:afterAutospacing="0" w:line="360" w:lineRule="atLeast"/>
        <w:ind w:left="0" w:right="0" w:firstLine="0"/>
        <w:jc w:val="center"/>
        <w:rPr>
          <w:rFonts w:hint="default" w:ascii="Arial" w:hAnsi="Arial" w:eastAsia="Arial" w:cs="Arial"/>
          <w:b/>
          <w:bCs/>
          <w:caps w:val="0"/>
          <w:color w:val="FF0000"/>
          <w:spacing w:val="0"/>
          <w:sz w:val="30"/>
          <w:szCs w:val="30"/>
          <w:highlight w:val="none"/>
          <w:shd w:val="clear" w:fill="FFFFFF"/>
        </w:rPr>
      </w:pPr>
    </w:p>
    <w:p w14:paraId="41C3B975">
      <w:pPr>
        <w:pStyle w:val="2"/>
        <w:keepNext w:val="0"/>
        <w:keepLines w:val="0"/>
        <w:widowControl/>
        <w:suppressLineNumbers w:val="0"/>
        <w:shd w:val="clear" w:fill="FFFFFF"/>
        <w:spacing w:before="360" w:beforeAutospacing="0" w:after="120" w:afterAutospacing="0" w:line="360" w:lineRule="atLeast"/>
        <w:ind w:left="0" w:right="0" w:firstLine="0"/>
        <w:jc w:val="center"/>
        <w:rPr>
          <w:rFonts w:ascii="Arial" w:hAnsi="Arial" w:eastAsia="Arial" w:cs="Arial"/>
          <w:b/>
          <w:bCs/>
          <w:caps w:val="0"/>
          <w:color w:val="FF0000"/>
          <w:spacing w:val="0"/>
          <w:sz w:val="30"/>
          <w:szCs w:val="30"/>
          <w:highlight w:val="none"/>
        </w:rPr>
      </w:pPr>
      <w:r>
        <w:rPr>
          <w:rFonts w:hint="default" w:ascii="Arial" w:hAnsi="Arial" w:eastAsia="Arial" w:cs="Arial"/>
          <w:b/>
          <w:bCs/>
          <w:caps w:val="0"/>
          <w:color w:val="FF0000"/>
          <w:spacing w:val="0"/>
          <w:sz w:val="30"/>
          <w:szCs w:val="30"/>
          <w:highlight w:val="none"/>
          <w:shd w:val="clear" w:fill="FFFFFF"/>
        </w:rPr>
        <w:t>Запрещающие</w:t>
      </w:r>
    </w:p>
    <w:p w14:paraId="01DD6702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Некоторые знаки, запрещающие движение велосипедистов:</w:t>
      </w:r>
    </w:p>
    <w:p w14:paraId="1C147EDC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3.9 «Движение на велосипедах запрещено»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— указывает на запрет движения велосипедов на данном участке дороги. </w:t>
      </w:r>
    </w:p>
    <w:p w14:paraId="76B78ED3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120" w:beforeAutospacing="0" w:after="120" w:afterAutospacing="0" w:line="330" w:lineRule="atLeast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  <w:drawing>
          <wp:inline distT="0" distB="0" distL="114300" distR="114300">
            <wp:extent cx="934720" cy="934720"/>
            <wp:effectExtent l="0" t="0" r="17780" b="17780"/>
            <wp:docPr id="22" name="Изображение 22" descr="6151298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615129845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EE56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5.1 «Автомагистраль»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— запрещает ехать транспорту, скорость которого не может превышать 40 км/ч. </w:t>
      </w:r>
    </w:p>
    <w:p w14:paraId="5C365650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1" w:after="120" w:afterAutospacing="0" w:line="330" w:lineRule="atLeast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  <w:drawing>
          <wp:inline distT="0" distB="0" distL="114300" distR="114300">
            <wp:extent cx="696595" cy="1045210"/>
            <wp:effectExtent l="0" t="0" r="8255" b="2540"/>
            <wp:docPr id="23" name="Изображение 23" descr="RU_road_sign_5.1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RU_road_sign_5.1.sv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8C99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5.3 «Дорога для автомобилей»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— предупреждает, что в зоне знака могут двигаться только машины, мотоциклы, автобусы, велосипедистам туда заезжать нельзя.</w:t>
      </w:r>
    </w:p>
    <w:p w14:paraId="0AE70AF7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1" w:after="120" w:afterAutospacing="0" w:line="330" w:lineRule="atLeast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  <w:drawing>
          <wp:inline distT="0" distB="0" distL="114300" distR="114300">
            <wp:extent cx="697865" cy="1029335"/>
            <wp:effectExtent l="0" t="0" r="6985" b="18415"/>
            <wp:docPr id="24" name="Изображение 24" descr="1e5568dc397411b18f5d422162e14e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1e5568dc397411b18f5d422162e14e1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DE7E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3.1 «Въезд запрещён»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(«кирпич») — чаще всего встречается на односторонних дорогах и полосах, выделенных для отдельного транспорта. </w:t>
      </w:r>
    </w:p>
    <w:p w14:paraId="1766452C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1" w:after="120" w:afterAutospacing="0" w:line="330" w:lineRule="atLeast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ru-RU"/>
        </w:rPr>
        <w:drawing>
          <wp:inline distT="0" distB="0" distL="114300" distR="114300">
            <wp:extent cx="1097915" cy="1097915"/>
            <wp:effectExtent l="0" t="0" r="6985" b="6985"/>
            <wp:docPr id="25" name="Изображение 25" descr="PL_road_sign_B-2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5" descr="PL_road_sign_B-2.sv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08A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3.2 «Движение запрещено»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— запрещает движение всех транспортных средств, включая велосипеды, на определённом участке: пешеходной зоне, парковой зоне, дороге, на которой ведётся ремонт. </w:t>
      </w:r>
    </w:p>
    <w:p w14:paraId="18B9459C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kern w:val="0"/>
          <w:sz w:val="24"/>
          <w:szCs w:val="24"/>
          <w:lang w:val="ru-RU" w:eastAsia="zh-CN" w:bidi="ar"/>
        </w:rPr>
      </w:pPr>
      <w:r>
        <w:rPr>
          <w:rFonts w:hint="default" w:ascii="Arial" w:hAnsi="Arial" w:eastAsia="Arial" w:cs="Arial"/>
          <w:kern w:val="0"/>
          <w:sz w:val="24"/>
          <w:szCs w:val="24"/>
          <w:lang w:val="ru-RU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1119505" cy="996315"/>
            <wp:effectExtent l="0" t="0" r="4445" b="13335"/>
            <wp:wrapTight wrapText="bothSides">
              <wp:wrapPolygon>
                <wp:start x="0" y="0"/>
                <wp:lineTo x="0" y="21063"/>
                <wp:lineTo x="21318" y="21063"/>
                <wp:lineTo x="21318" y="0"/>
                <wp:lineTo x="0" y="0"/>
              </wp:wrapPolygon>
            </wp:wrapTight>
            <wp:docPr id="26" name="Изображение 26" descr="100057301463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100057301463b0"/>
                    <pic:cNvPicPr>
                      <a:picLocks noChangeAspect="1"/>
                    </pic:cNvPicPr>
                  </pic:nvPicPr>
                  <pic:blipFill>
                    <a:blip r:embed="rId14"/>
                    <a:srcRect l="17902" r="18970" b="15739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1AA5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</w:p>
    <w:p w14:paraId="12A160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</w:p>
    <w:p w14:paraId="76A409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</w:p>
    <w:p w14:paraId="62D71E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</w:p>
    <w:p w14:paraId="5A837A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</w:p>
    <w:p w14:paraId="21BA3AD7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  <w:bookmarkStart w:id="0" w:name="_GoBack"/>
      <w:bookmarkEnd w:id="0"/>
      <w:r>
        <w:rPr>
          <w:rFonts w:hint="default" w:ascii="Arial" w:hAnsi="Arial" w:eastAsia="Arial" w:cs="Arial"/>
          <w:b/>
          <w:bCs/>
          <w:color w:val="333333"/>
          <w:sz w:val="30"/>
          <w:szCs w:val="30"/>
        </w:rPr>
        <w:t>Разметка</w:t>
      </w:r>
    </w:p>
    <w:p w14:paraId="5B7F226B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С 1 января 2026 года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введена </w:t>
      </w: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разметка 1.24.6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— разметка с изображением велосипеда и надписью «зона», которая заменяет знак, обозначающий начало участка дороги, предназначенного для велосипедистов. Она используется совместно с дорожным знаком 5.39. </w:t>
      </w:r>
    </w:p>
    <w:p w14:paraId="02D8F59F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Изображения дорожной разметки, регламентирующей движение велосипедистов в России:</w:t>
      </w:r>
    </w:p>
    <w:p w14:paraId="6AFDE8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  <w:r>
        <w:rPr>
          <w:rFonts w:ascii="SimSun" w:hAnsi="SimSun" w:eastAsia="SimSun" w:cs="SimSun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drawing>
          <wp:inline distT="0" distB="0" distL="114300" distR="114300">
            <wp:extent cx="4067175" cy="3048000"/>
            <wp:effectExtent l="0" t="0" r="9525" b="0"/>
            <wp:docPr id="10" name="Изображение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6" descr="IMG_2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9F61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  <w:r>
        <w:rPr>
          <w:rFonts w:ascii="SimSun" w:hAnsi="SimSun" w:eastAsia="SimSun" w:cs="SimSun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drawing>
          <wp:inline distT="0" distB="0" distL="114300" distR="114300">
            <wp:extent cx="4572000" cy="3038475"/>
            <wp:effectExtent l="0" t="0" r="0" b="9525"/>
            <wp:docPr id="2" name="Изображение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7" descr="IMG_2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177C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  <w:r>
        <w:rPr>
          <w:rFonts w:ascii="SimSun" w:hAnsi="SimSun" w:eastAsia="SimSun" w:cs="SimSun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drawing>
          <wp:inline distT="0" distB="0" distL="114300" distR="114300">
            <wp:extent cx="4572000" cy="3048000"/>
            <wp:effectExtent l="0" t="0" r="0" b="0"/>
            <wp:docPr id="1" name="Изображение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8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F665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</w:p>
    <w:p w14:paraId="4E5717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ind w:left="-240" w:right="-240"/>
        <w:jc w:val="both"/>
        <w:textAlignment w:val="top"/>
      </w:pPr>
      <w:r>
        <w:rPr>
          <w:rFonts w:ascii="SimSun" w:hAnsi="SimSun" w:eastAsia="SimSun" w:cs="SimSun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drawing>
          <wp:inline distT="0" distB="0" distL="114300" distR="114300">
            <wp:extent cx="4572000" cy="2400300"/>
            <wp:effectExtent l="0" t="0" r="0" b="0"/>
            <wp:docPr id="5" name="Изображение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10" descr="IMG_26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43E57B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</w:p>
    <w:p w14:paraId="1D86D791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</w:p>
    <w:p w14:paraId="0ED8C52B">
      <w:pPr>
        <w:pStyle w:val="2"/>
        <w:keepNext w:val="0"/>
        <w:keepLines w:val="0"/>
        <w:widowControl/>
        <w:suppressLineNumbers w:val="0"/>
        <w:spacing w:before="360" w:beforeAutospacing="0" w:after="120" w:afterAutospacing="0" w:line="360" w:lineRule="atLeast"/>
        <w:ind w:left="0" w:right="0"/>
        <w:jc w:val="both"/>
        <w:rPr>
          <w:rFonts w:hint="default" w:ascii="Arial" w:hAnsi="Arial" w:eastAsia="Arial" w:cs="Arial"/>
          <w:b/>
          <w:bCs/>
          <w:color w:val="333333"/>
          <w:sz w:val="30"/>
          <w:szCs w:val="30"/>
        </w:rPr>
      </w:pPr>
      <w:r>
        <w:rPr>
          <w:rFonts w:hint="default" w:ascii="Arial" w:hAnsi="Arial" w:eastAsia="Arial" w:cs="Arial"/>
          <w:b/>
          <w:bCs/>
          <w:color w:val="333333"/>
          <w:sz w:val="30"/>
          <w:szCs w:val="30"/>
        </w:rPr>
        <w:t>Ответственность</w:t>
      </w:r>
    </w:p>
    <w:p w14:paraId="2ED7B03F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Велосипедисты несут административную ответственность за нарушение ПДД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 согласно статье 12.29 КоАП РФ и статье 12.30 КоАП РФ. Размер штрафа зависит от тяжести нарушения и наличия пострадавших. </w:t>
      </w:r>
    </w:p>
    <w:p w14:paraId="2E06577E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Style w:val="6"/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Некоторые примеры штрафов</w:t>
      </w:r>
      <w:r>
        <w:rPr>
          <w:rFonts w:hint="default" w:ascii="Arial" w:hAnsi="Arial" w:eastAsia="Arial" w:cs="Arial"/>
          <w:kern w:val="0"/>
          <w:sz w:val="24"/>
          <w:szCs w:val="24"/>
          <w:lang w:val="en-US" w:eastAsia="zh-CN" w:bidi="ar"/>
        </w:rPr>
        <w:t>:</w:t>
      </w:r>
    </w:p>
    <w:p w14:paraId="3D7089D7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нарушение ПДД велосипедистом (общее) — ч. 2 ст. 12.29, штраф — 800 рублей;</w:t>
      </w:r>
    </w:p>
    <w:p w14:paraId="324592B0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нарушение ПДД в состоянии опьянения — ч. 3 ст. 12.29, штраф — 1000–1500 рублей;</w:t>
      </w:r>
    </w:p>
    <w:p w14:paraId="773492D8">
      <w:pPr>
        <w:keepNext w:val="0"/>
        <w:keepLines w:val="0"/>
        <w:widowControl/>
        <w:numPr>
          <w:ilvl w:val="0"/>
          <w:numId w:val="6"/>
        </w:numPr>
        <w:suppressLineNumbers w:val="0"/>
        <w:pBdr>
          <w:left w:val="none" w:color="auto" w:sz="0" w:space="0"/>
        </w:pBdr>
        <w:spacing w:before="0" w:beforeAutospacing="1" w:after="120" w:afterAutospacing="0" w:line="330" w:lineRule="atLeast"/>
        <w:ind w:left="0" w:hanging="360"/>
        <w:jc w:val="both"/>
        <w:rPr>
          <w:rFonts w:hint="default" w:ascii="Arial" w:hAnsi="Arial" w:eastAsia="Arial" w:cs="Arial"/>
          <w:sz w:val="24"/>
          <w:szCs w:val="24"/>
        </w:rPr>
      </w:pPr>
      <w:r>
        <w:rPr>
          <w:rFonts w:hint="default" w:ascii="Arial" w:hAnsi="Arial" w:eastAsia="Arial" w:cs="Arial"/>
          <w:sz w:val="24"/>
          <w:szCs w:val="24"/>
          <w:bdr w:val="none" w:color="auto" w:sz="0" w:space="0"/>
        </w:rPr>
        <w:t>нарушение, создавшее помехи движению ТС — ч. 1 ст. 12.30, штраф — 1000 рублей.</w:t>
      </w:r>
    </w:p>
    <w:p w14:paraId="614A3426">
      <w:pPr>
        <w:keepNext w:val="0"/>
        <w:keepLines w:val="0"/>
        <w:widowControl/>
        <w:suppressLineNumbers w:val="0"/>
        <w:spacing w:before="0" w:beforeAutospacing="0" w:after="120" w:afterAutospacing="0" w:line="330" w:lineRule="atLeast"/>
        <w:jc w:val="both"/>
        <w:rPr>
          <w:rFonts w:hint="default" w:ascii="Arial" w:hAnsi="Arial" w:eastAsia="Arial" w:cs="Arial"/>
          <w:kern w:val="0"/>
          <w:sz w:val="24"/>
          <w:szCs w:val="24"/>
          <w:lang w:val="ru-RU" w:eastAsia="zh-CN" w:bidi="ar"/>
        </w:rPr>
      </w:pPr>
    </w:p>
    <w:p w14:paraId="098F642F">
      <w:pPr>
        <w:jc w:val="both"/>
        <w:rPr>
          <w:rFonts w:hint="default"/>
          <w:lang w:val="en-US"/>
        </w:rPr>
      </w:pPr>
    </w:p>
    <w:sectPr>
      <w:pgSz w:w="11906" w:h="16838"/>
      <w:pgMar w:top="640" w:right="706" w:bottom="598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02A957"/>
    <w:multiLevelType w:val="multilevel"/>
    <w:tmpl w:val="8F02A9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B9755D0E"/>
    <w:multiLevelType w:val="multilevel"/>
    <w:tmpl w:val="B9755D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0F3B1BA3"/>
    <w:multiLevelType w:val="multilevel"/>
    <w:tmpl w:val="0F3B1B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1AC00305"/>
    <w:multiLevelType w:val="multilevel"/>
    <w:tmpl w:val="1AC003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3440D523"/>
    <w:multiLevelType w:val="multilevel"/>
    <w:tmpl w:val="3440D52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5CC91FF8"/>
    <w:multiLevelType w:val="multilevel"/>
    <w:tmpl w:val="5CC91F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12CAC"/>
    <w:rsid w:val="48A1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107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2026-02-13T09:53:00Z</dcterms:created>
  <dc:creator>Юлия Герасименк�</dc:creator>
  <cp:lastModifiedBy>Юлия Герасименк�</cp:lastModifiedBy>
  <dcterms:modified xsi:type="dcterms:W3CDTF">2026-02-13T15:04:13Z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820793979D5B40F685D0EAFDF1D8444F_11</vt:lpwstr>
  </property>
</Properties>
</file>